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26" w:rsidRPr="005A7703" w:rsidRDefault="00A94526" w:rsidP="00A94526">
      <w:pPr>
        <w:spacing w:after="0"/>
        <w:jc w:val="right"/>
        <w:rPr>
          <w:rFonts w:ascii="Bookman Old Style" w:hAnsi="Bookman Old Style" w:cs="Arial"/>
          <w:b/>
          <w:sz w:val="20"/>
          <w:szCs w:val="20"/>
        </w:rPr>
      </w:pPr>
      <w:r w:rsidRPr="005A7703">
        <w:rPr>
          <w:rFonts w:ascii="Bookman Old Style" w:hAnsi="Bookman Old Style"/>
          <w:sz w:val="20"/>
          <w:szCs w:val="20"/>
        </w:rPr>
        <w:t>KEFRI/F/MR/05</w:t>
      </w:r>
    </w:p>
    <w:p w:rsidR="00A94526" w:rsidRPr="005A7703" w:rsidRDefault="00A94526" w:rsidP="00A94526">
      <w:pPr>
        <w:spacing w:after="0"/>
        <w:jc w:val="center"/>
        <w:rPr>
          <w:rFonts w:ascii="Bookman Old Style" w:hAnsi="Bookman Old Style" w:cs="Arial"/>
          <w:sz w:val="20"/>
          <w:szCs w:val="20"/>
        </w:rPr>
      </w:pPr>
      <w:r w:rsidRPr="005A7703">
        <w:rPr>
          <w:rFonts w:ascii="Bookman Old Style" w:hAnsi="Bookman Old Style" w:cs="Arial"/>
          <w:noProof/>
          <w:sz w:val="20"/>
          <w:szCs w:val="20"/>
          <w:lang w:val="en-US"/>
        </w:rPr>
        <w:drawing>
          <wp:inline distT="0" distB="0" distL="0" distR="0">
            <wp:extent cx="701675" cy="6908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675" cy="690880"/>
                    </a:xfrm>
                    <a:prstGeom prst="rect">
                      <a:avLst/>
                    </a:prstGeom>
                    <a:noFill/>
                    <a:ln>
                      <a:noFill/>
                    </a:ln>
                  </pic:spPr>
                </pic:pic>
              </a:graphicData>
            </a:graphic>
          </wp:inline>
        </w:drawing>
      </w:r>
    </w:p>
    <w:p w:rsidR="00A94526" w:rsidRPr="005A7703" w:rsidRDefault="00A94526" w:rsidP="00A94526">
      <w:pPr>
        <w:spacing w:after="0"/>
        <w:jc w:val="center"/>
        <w:rPr>
          <w:rFonts w:ascii="Bookman Old Style" w:hAnsi="Bookman Old Style"/>
          <w:b/>
          <w:caps/>
          <w:sz w:val="20"/>
          <w:szCs w:val="20"/>
        </w:rPr>
      </w:pPr>
      <w:r w:rsidRPr="005A7703">
        <w:rPr>
          <w:rFonts w:ascii="Bookman Old Style" w:hAnsi="Bookman Old Style"/>
          <w:b/>
          <w:caps/>
          <w:sz w:val="20"/>
          <w:szCs w:val="20"/>
        </w:rPr>
        <w:t>evaluation of compliance TO LEGAL and other STATUTORY requirements</w:t>
      </w:r>
    </w:p>
    <w:p w:rsidR="00A94526" w:rsidRPr="005A7703" w:rsidRDefault="00A94526" w:rsidP="00A94526">
      <w:pPr>
        <w:spacing w:after="0"/>
        <w:jc w:val="both"/>
        <w:rPr>
          <w:rFonts w:ascii="Bookman Old Style" w:hAnsi="Bookman Old Style"/>
          <w:sz w:val="20"/>
          <w:szCs w:val="20"/>
        </w:rPr>
      </w:pP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2003"/>
        <w:gridCol w:w="1743"/>
        <w:gridCol w:w="1339"/>
        <w:gridCol w:w="3870"/>
        <w:gridCol w:w="1688"/>
      </w:tblGrid>
      <w:tr w:rsidR="00A94526" w:rsidRPr="005A7703" w:rsidTr="003938C0">
        <w:trPr>
          <w:trHeight w:val="127"/>
          <w:tblHeader/>
        </w:trPr>
        <w:tc>
          <w:tcPr>
            <w:tcW w:w="787" w:type="dxa"/>
            <w:tcBorders>
              <w:top w:val="single" w:sz="4" w:space="0" w:color="auto"/>
              <w:left w:val="single" w:sz="4" w:space="0" w:color="auto"/>
              <w:bottom w:val="single" w:sz="4" w:space="0" w:color="auto"/>
              <w:right w:val="single" w:sz="4" w:space="0" w:color="auto"/>
            </w:tcBorders>
            <w:shd w:val="clear" w:color="auto" w:fill="E0E0E0"/>
            <w:hideMark/>
          </w:tcPr>
          <w:p w:rsidR="00A94526" w:rsidRPr="005A7703" w:rsidRDefault="00A94526" w:rsidP="003938C0">
            <w:pPr>
              <w:spacing w:after="0"/>
              <w:jc w:val="both"/>
              <w:rPr>
                <w:rFonts w:ascii="Bookman Old Style" w:hAnsi="Bookman Old Style"/>
                <w:b/>
                <w:bCs/>
                <w:sz w:val="20"/>
                <w:szCs w:val="20"/>
              </w:rPr>
            </w:pPr>
            <w:r w:rsidRPr="005A7703">
              <w:rPr>
                <w:rFonts w:ascii="Bookman Old Style" w:hAnsi="Bookman Old Style"/>
                <w:b/>
                <w:bCs/>
                <w:sz w:val="20"/>
                <w:szCs w:val="20"/>
              </w:rPr>
              <w:t>S.No</w:t>
            </w:r>
          </w:p>
        </w:tc>
        <w:tc>
          <w:tcPr>
            <w:tcW w:w="2003" w:type="dxa"/>
            <w:tcBorders>
              <w:top w:val="single" w:sz="4" w:space="0" w:color="auto"/>
              <w:left w:val="single" w:sz="4" w:space="0" w:color="auto"/>
              <w:bottom w:val="single" w:sz="4" w:space="0" w:color="auto"/>
              <w:right w:val="single" w:sz="4" w:space="0" w:color="auto"/>
            </w:tcBorders>
            <w:shd w:val="clear" w:color="auto" w:fill="E0E0E0"/>
            <w:hideMark/>
          </w:tcPr>
          <w:p w:rsidR="00A94526" w:rsidRPr="005A7703" w:rsidRDefault="00A94526" w:rsidP="003938C0">
            <w:pPr>
              <w:pStyle w:val="CommentText"/>
              <w:spacing w:line="276" w:lineRule="auto"/>
              <w:jc w:val="both"/>
              <w:rPr>
                <w:rFonts w:ascii="Bookman Old Style" w:hAnsi="Bookman Old Style"/>
                <w:b/>
                <w:bCs/>
                <w:lang w:val="en-US"/>
              </w:rPr>
            </w:pPr>
            <w:r w:rsidRPr="005A7703">
              <w:rPr>
                <w:rFonts w:ascii="Bookman Old Style" w:hAnsi="Bookman Old Style"/>
                <w:b/>
                <w:bCs/>
                <w:lang w:val="en-US"/>
              </w:rPr>
              <w:t>Regulation</w:t>
            </w:r>
          </w:p>
        </w:tc>
        <w:tc>
          <w:tcPr>
            <w:tcW w:w="1743" w:type="dxa"/>
            <w:tcBorders>
              <w:top w:val="single" w:sz="4" w:space="0" w:color="auto"/>
              <w:left w:val="single" w:sz="4" w:space="0" w:color="auto"/>
              <w:bottom w:val="single" w:sz="4" w:space="0" w:color="auto"/>
              <w:right w:val="single" w:sz="4" w:space="0" w:color="auto"/>
            </w:tcBorders>
            <w:shd w:val="clear" w:color="auto" w:fill="E0E0E0"/>
            <w:hideMark/>
          </w:tcPr>
          <w:p w:rsidR="00A94526" w:rsidRPr="005A7703" w:rsidRDefault="00A94526" w:rsidP="003938C0">
            <w:pPr>
              <w:spacing w:after="0"/>
              <w:jc w:val="both"/>
              <w:rPr>
                <w:rFonts w:ascii="Bookman Old Style" w:hAnsi="Bookman Old Style"/>
                <w:b/>
                <w:bCs/>
                <w:sz w:val="20"/>
                <w:szCs w:val="20"/>
              </w:rPr>
            </w:pPr>
            <w:r w:rsidRPr="005A7703">
              <w:rPr>
                <w:rFonts w:ascii="Bookman Old Style" w:hAnsi="Bookman Old Style"/>
                <w:b/>
                <w:bCs/>
                <w:sz w:val="20"/>
                <w:szCs w:val="20"/>
              </w:rPr>
              <w:t>Regulatory Agency</w:t>
            </w:r>
          </w:p>
        </w:tc>
        <w:tc>
          <w:tcPr>
            <w:tcW w:w="1339" w:type="dxa"/>
            <w:tcBorders>
              <w:top w:val="single" w:sz="4" w:space="0" w:color="auto"/>
              <w:left w:val="single" w:sz="4" w:space="0" w:color="auto"/>
              <w:bottom w:val="single" w:sz="4" w:space="0" w:color="auto"/>
              <w:right w:val="single" w:sz="4" w:space="0" w:color="auto"/>
            </w:tcBorders>
            <w:shd w:val="clear" w:color="auto" w:fill="E0E0E0"/>
            <w:hideMark/>
          </w:tcPr>
          <w:p w:rsidR="00A94526" w:rsidRPr="005A7703" w:rsidRDefault="00A94526" w:rsidP="003938C0">
            <w:pPr>
              <w:spacing w:after="0"/>
              <w:jc w:val="both"/>
              <w:rPr>
                <w:rFonts w:ascii="Bookman Old Style" w:hAnsi="Bookman Old Style"/>
                <w:b/>
                <w:bCs/>
                <w:sz w:val="20"/>
                <w:szCs w:val="20"/>
              </w:rPr>
            </w:pPr>
            <w:r w:rsidRPr="005A7703">
              <w:rPr>
                <w:rFonts w:ascii="Bookman Old Style" w:hAnsi="Bookman Old Style"/>
                <w:b/>
                <w:bCs/>
                <w:sz w:val="20"/>
                <w:szCs w:val="20"/>
              </w:rPr>
              <w:t>Specific Provision</w:t>
            </w:r>
          </w:p>
        </w:tc>
        <w:tc>
          <w:tcPr>
            <w:tcW w:w="3870" w:type="dxa"/>
            <w:tcBorders>
              <w:top w:val="single" w:sz="4" w:space="0" w:color="auto"/>
              <w:left w:val="single" w:sz="4" w:space="0" w:color="auto"/>
              <w:bottom w:val="single" w:sz="4" w:space="0" w:color="auto"/>
              <w:right w:val="single" w:sz="4" w:space="0" w:color="auto"/>
            </w:tcBorders>
            <w:shd w:val="clear" w:color="auto" w:fill="E0E0E0"/>
            <w:hideMark/>
          </w:tcPr>
          <w:p w:rsidR="00A94526" w:rsidRPr="005A7703" w:rsidRDefault="00A94526" w:rsidP="003938C0">
            <w:pPr>
              <w:spacing w:after="0"/>
              <w:jc w:val="both"/>
              <w:rPr>
                <w:rFonts w:ascii="Bookman Old Style" w:hAnsi="Bookman Old Style"/>
                <w:b/>
                <w:bCs/>
                <w:sz w:val="20"/>
                <w:szCs w:val="20"/>
              </w:rPr>
            </w:pPr>
            <w:r w:rsidRPr="005A7703">
              <w:rPr>
                <w:rFonts w:ascii="Bookman Old Style" w:hAnsi="Bookman Old Style"/>
                <w:b/>
                <w:bCs/>
                <w:sz w:val="20"/>
                <w:szCs w:val="20"/>
              </w:rPr>
              <w:t>Requirement</w:t>
            </w:r>
          </w:p>
        </w:tc>
        <w:tc>
          <w:tcPr>
            <w:tcW w:w="1688" w:type="dxa"/>
            <w:tcBorders>
              <w:top w:val="single" w:sz="4" w:space="0" w:color="auto"/>
              <w:left w:val="single" w:sz="4" w:space="0" w:color="auto"/>
              <w:bottom w:val="single" w:sz="4" w:space="0" w:color="auto"/>
              <w:right w:val="single" w:sz="4" w:space="0" w:color="auto"/>
            </w:tcBorders>
            <w:shd w:val="clear" w:color="auto" w:fill="E0E0E0"/>
            <w:hideMark/>
          </w:tcPr>
          <w:p w:rsidR="00A94526" w:rsidRPr="005A7703" w:rsidRDefault="00A94526" w:rsidP="003938C0">
            <w:pPr>
              <w:spacing w:after="0"/>
              <w:jc w:val="both"/>
              <w:rPr>
                <w:rFonts w:ascii="Bookman Old Style" w:hAnsi="Bookman Old Style"/>
                <w:b/>
                <w:bCs/>
                <w:sz w:val="20"/>
                <w:szCs w:val="20"/>
              </w:rPr>
            </w:pPr>
            <w:r w:rsidRPr="005A7703">
              <w:rPr>
                <w:rFonts w:ascii="Bookman Old Style" w:hAnsi="Bookman Old Style"/>
                <w:b/>
                <w:bCs/>
                <w:sz w:val="20"/>
                <w:szCs w:val="20"/>
              </w:rPr>
              <w:t>Status</w:t>
            </w:r>
          </w:p>
        </w:tc>
      </w:tr>
      <w:tr w:rsidR="00A94526" w:rsidRPr="005A7703" w:rsidTr="003938C0">
        <w:trPr>
          <w:trHeight w:val="127"/>
        </w:trPr>
        <w:tc>
          <w:tcPr>
            <w:tcW w:w="787"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w:t>
            </w:r>
          </w:p>
        </w:tc>
        <w:tc>
          <w:tcPr>
            <w:tcW w:w="200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Occupational Safety and Health Act, 2007</w:t>
            </w:r>
          </w:p>
        </w:tc>
        <w:tc>
          <w:tcPr>
            <w:tcW w:w="174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DOSHS</w:t>
            </w:r>
          </w:p>
        </w:tc>
        <w:tc>
          <w:tcPr>
            <w:tcW w:w="1339"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pStyle w:val="CommentText"/>
              <w:spacing w:line="276" w:lineRule="auto"/>
              <w:jc w:val="both"/>
              <w:rPr>
                <w:rFonts w:ascii="Bookman Old Style" w:hAnsi="Bookman Old Style"/>
                <w:lang w:val="en-US"/>
              </w:rPr>
            </w:pPr>
            <w:r w:rsidRPr="005A7703">
              <w:rPr>
                <w:rFonts w:ascii="Bookman Old Style" w:hAnsi="Bookman Old Style"/>
                <w:lang w:val="en-US"/>
              </w:rPr>
              <w:t>7(1)</w:t>
            </w:r>
          </w:p>
          <w:p w:rsidR="00A94526" w:rsidRPr="005A7703" w:rsidRDefault="00A94526" w:rsidP="003938C0">
            <w:pPr>
              <w:pStyle w:val="CommentText"/>
              <w:spacing w:line="276" w:lineRule="auto"/>
              <w:jc w:val="both"/>
              <w:rPr>
                <w:rFonts w:ascii="Bookman Old Style" w:hAnsi="Bookman Old Style"/>
                <w:lang w:val="en-US"/>
              </w:rPr>
            </w:pP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pStyle w:val="Pa19"/>
              <w:spacing w:line="276" w:lineRule="auto"/>
              <w:ind w:left="420" w:right="420" w:hanging="453"/>
              <w:jc w:val="both"/>
              <w:rPr>
                <w:rFonts w:ascii="Bookman Old Style" w:hAnsi="Bookman Old Style"/>
                <w:sz w:val="20"/>
                <w:szCs w:val="20"/>
              </w:rPr>
            </w:pPr>
            <w:r w:rsidRPr="005A7703">
              <w:rPr>
                <w:rFonts w:ascii="Bookman Old Style" w:hAnsi="Bookman Old Style"/>
                <w:sz w:val="20"/>
                <w:szCs w:val="20"/>
              </w:rPr>
              <w:t xml:space="preserve">(a) KEFRI shall prepare a written statement of Safety and Health Policy </w:t>
            </w:r>
          </w:p>
          <w:p w:rsidR="00A94526" w:rsidRPr="005A7703" w:rsidRDefault="00A94526" w:rsidP="003938C0">
            <w:pPr>
              <w:pStyle w:val="Pa19"/>
              <w:spacing w:line="276" w:lineRule="auto"/>
              <w:ind w:left="392" w:right="420" w:hanging="392"/>
              <w:jc w:val="both"/>
              <w:rPr>
                <w:rFonts w:ascii="Bookman Old Style" w:hAnsi="Bookman Old Style"/>
                <w:sz w:val="20"/>
                <w:szCs w:val="20"/>
              </w:rPr>
            </w:pPr>
            <w:r w:rsidRPr="005A7703">
              <w:rPr>
                <w:rFonts w:ascii="Bookman Old Style" w:hAnsi="Bookman Old Style"/>
                <w:sz w:val="20"/>
                <w:szCs w:val="20"/>
              </w:rPr>
              <w:t>(b)  KEFRI shall communicate the statement to all employees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cantSplit/>
          <w:trHeight w:val="12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9(1)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 shall establish a safety and health committee</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cantSplit/>
          <w:trHeight w:val="12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11(1)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 shall undertake a safety and health audit at least once a year by a safety and health advisor</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cantSplit/>
          <w:trHeight w:val="12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44(1)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KEFRI shall register its premises with DOSHS as a work place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cantSplit/>
          <w:trHeight w:val="530"/>
        </w:trPr>
        <w:tc>
          <w:tcPr>
            <w:tcW w:w="787"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2</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NSSF Act Cap 258</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NSSF</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10(2)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KEFRI shall remit deductions by 15of the following month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cantSplit/>
          <w:trHeight w:val="12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NHIF Act Cap 255</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NHIF</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16(3a)</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 shall remit deductions within one month of such deduction</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cantSplit/>
          <w:trHeight w:val="12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HELB Act Cap 213(a) </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HELB</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16(2)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 shall remit HELB deductions within 15 days after the end of each month</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cantSplit/>
          <w:trHeight w:val="127"/>
        </w:trPr>
        <w:tc>
          <w:tcPr>
            <w:tcW w:w="787"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Income Tax Act Cap 470</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Income Tax</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130-10(1)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 shall remit PAYE deductions before the tenth day of the following month</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127"/>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3</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Clinical Officers (Training, Registration and Licensing) Act Cap 260</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Clinical Officers Council</w:t>
            </w:r>
          </w:p>
        </w:tc>
        <w:tc>
          <w:tcPr>
            <w:tcW w:w="1339"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7(3)</w:t>
            </w:r>
          </w:p>
          <w:p w:rsidR="00A94526" w:rsidRPr="005A7703" w:rsidRDefault="00A94526" w:rsidP="003938C0">
            <w:pPr>
              <w:spacing w:after="0"/>
              <w:jc w:val="both"/>
              <w:rPr>
                <w:rFonts w:ascii="Bookman Old Style" w:hAnsi="Bookman Old Style"/>
                <w:sz w:val="20"/>
                <w:szCs w:val="20"/>
              </w:rPr>
            </w:pPr>
          </w:p>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11(3)</w:t>
            </w:r>
          </w:p>
        </w:tc>
        <w:tc>
          <w:tcPr>
            <w:tcW w:w="3870"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clinical officer shall have a certificate of registration</w:t>
            </w:r>
          </w:p>
          <w:p w:rsidR="00A94526" w:rsidRPr="005A7703" w:rsidRDefault="00A94526" w:rsidP="003938C0">
            <w:pPr>
              <w:spacing w:after="0"/>
              <w:jc w:val="both"/>
              <w:rPr>
                <w:rFonts w:ascii="Bookman Old Style" w:hAnsi="Bookman Old Style"/>
                <w:sz w:val="20"/>
                <w:szCs w:val="20"/>
              </w:rPr>
            </w:pPr>
          </w:p>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The clinical officer shall have a valid practicing licence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773"/>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4</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Nurses Act Cap 257</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Nursing Council of Kenya</w:t>
            </w:r>
          </w:p>
        </w:tc>
        <w:tc>
          <w:tcPr>
            <w:tcW w:w="1339"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23</w:t>
            </w:r>
          </w:p>
          <w:p w:rsidR="00A94526" w:rsidRPr="005A7703" w:rsidRDefault="00A94526" w:rsidP="003938C0">
            <w:pPr>
              <w:spacing w:after="0"/>
              <w:jc w:val="both"/>
              <w:rPr>
                <w:rFonts w:ascii="Bookman Old Style" w:hAnsi="Bookman Old Style"/>
                <w:sz w:val="20"/>
                <w:szCs w:val="20"/>
              </w:rPr>
            </w:pP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Nursing officer shall have a certificate under the seal of the council</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127"/>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5</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The Nurses  licensing regulations </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Nursing council of Kenya</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6(1)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nursing officers shall have a valid practicing licence</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127"/>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7</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Foods, Drugs and Chemical Substances Act 2012</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Public Health</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15 (1b)</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 xml:space="preserve">KEFRI shall ensure that all persons handling food undertakes medical examination by Government medical institution at regular intervals of not </w:t>
            </w:r>
            <w:r w:rsidRPr="005A7703">
              <w:rPr>
                <w:rFonts w:ascii="Bookman Old Style" w:hAnsi="Bookman Old Style" w:cs="TimesNewRoman"/>
                <w:sz w:val="20"/>
                <w:szCs w:val="20"/>
              </w:rPr>
              <w:lastRenderedPageBreak/>
              <w:t xml:space="preserve">more than 12 months and a health certificate kept at the facility.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127"/>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lastRenderedPageBreak/>
              <w:t>8</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Foods, Drugs and Chemical Substances Act 2012</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Public Health </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4</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 xml:space="preserve">KEFRI shall register its facilities that offer catering services.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1206"/>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9</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Medical Laboratory Technicians and Technologists Board Act 1999</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KMLTTB</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15(5)</w:t>
            </w:r>
          </w:p>
        </w:tc>
        <w:tc>
          <w:tcPr>
            <w:tcW w:w="3870"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pStyle w:val="Default"/>
              <w:spacing w:line="276" w:lineRule="auto"/>
              <w:jc w:val="both"/>
              <w:rPr>
                <w:color w:val="auto"/>
                <w:sz w:val="20"/>
                <w:szCs w:val="20"/>
              </w:rPr>
            </w:pPr>
            <w:r w:rsidRPr="005A7703">
              <w:rPr>
                <w:color w:val="auto"/>
                <w:sz w:val="20"/>
                <w:szCs w:val="20"/>
              </w:rPr>
              <w:t xml:space="preserve">All medical lab technologists shall have a certificate of registration from KMLTTB. </w:t>
            </w:r>
          </w:p>
          <w:p w:rsidR="00A94526" w:rsidRPr="005A7703" w:rsidRDefault="00A94526" w:rsidP="003938C0">
            <w:pPr>
              <w:spacing w:after="0"/>
              <w:jc w:val="both"/>
              <w:rPr>
                <w:rFonts w:ascii="Bookman Old Style" w:hAnsi="Bookman Old Style"/>
                <w:sz w:val="20"/>
                <w:szCs w:val="20"/>
              </w:rPr>
            </w:pP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18"/>
        </w:trPr>
        <w:tc>
          <w:tcPr>
            <w:tcW w:w="787" w:type="dxa"/>
            <w:vMerge w:val="restart"/>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c>
          <w:tcPr>
            <w:tcW w:w="200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Public Procurement and  Asset Disposal Act 2015</w:t>
            </w:r>
          </w:p>
        </w:tc>
        <w:tc>
          <w:tcPr>
            <w:tcW w:w="174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PPADA</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5(44)1 &amp; 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Director shall establish procedures on functions of procurement consistent with Act</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18"/>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V (44) 2b</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Director shall constitute all procurement and asset disposal committees in accordance with the Act</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18"/>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V(47) 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KEFRIs Procurement functions shall be handled by procurement professionals whose qualifications are recognized in Kenya</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18"/>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IX (92)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KEFRI shall use open tendering or alternative procurement procedures (Low value procurement, restricted tender request for quotations/proposals, two stage tendering, direct procurement, specially permitted procurement)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18"/>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V(68)1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Director shall keep records for each procurement for at least six years after the resulting contract was entered into or, if no contract resulted, after the procurement proceedings were terminated</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5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XIV</w:t>
            </w:r>
          </w:p>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(163)1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sz w:val="20"/>
                <w:szCs w:val="20"/>
                <w:lang w:eastAsia="en-GB"/>
              </w:rPr>
            </w:pPr>
            <w:r w:rsidRPr="005A7703">
              <w:rPr>
                <w:rFonts w:ascii="Bookman Old Style" w:hAnsi="Bookman Old Style"/>
                <w:sz w:val="20"/>
                <w:szCs w:val="20"/>
                <w:lang w:eastAsia="en-GB"/>
              </w:rPr>
              <w:t>The Director shall establish a disposal committee as and when prescribed for the purpose of</w:t>
            </w:r>
          </w:p>
          <w:p w:rsidR="00A94526" w:rsidRPr="005A7703" w:rsidRDefault="00A94526" w:rsidP="003938C0">
            <w:pPr>
              <w:autoSpaceDE w:val="0"/>
              <w:autoSpaceDN w:val="0"/>
              <w:adjustRightInd w:val="0"/>
              <w:spacing w:after="0"/>
              <w:jc w:val="both"/>
              <w:rPr>
                <w:rFonts w:ascii="Bookman Old Style" w:hAnsi="Bookman Old Style"/>
                <w:sz w:val="20"/>
                <w:szCs w:val="20"/>
                <w:lang w:eastAsia="en-GB"/>
              </w:rPr>
            </w:pPr>
            <w:r w:rsidRPr="005A7703">
              <w:rPr>
                <w:rFonts w:ascii="Bookman Old Style" w:hAnsi="Bookman Old Style"/>
                <w:sz w:val="20"/>
                <w:szCs w:val="20"/>
                <w:lang w:eastAsia="en-GB"/>
              </w:rPr>
              <w:t>disposal of unserviceable, obsolete, obsolescent, surplus stores ,equipment or assets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5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XII (155)1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sz w:val="20"/>
                <w:szCs w:val="20"/>
              </w:rPr>
            </w:pPr>
            <w:r w:rsidRPr="005A7703">
              <w:rPr>
                <w:rFonts w:ascii="Bookman Old Style" w:hAnsi="Bookman Old Style"/>
                <w:sz w:val="20"/>
                <w:szCs w:val="20"/>
              </w:rPr>
              <w:t xml:space="preserve">Articles 227(2) of the constitution and despite any other provision of this Act or any other registration, KEFRI shall comply with the </w:t>
            </w:r>
            <w:r w:rsidRPr="005A7703">
              <w:rPr>
                <w:rFonts w:ascii="Bookman Old Style" w:hAnsi="Bookman Old Style"/>
                <w:sz w:val="20"/>
                <w:szCs w:val="20"/>
              </w:rPr>
              <w:lastRenderedPageBreak/>
              <w:t>provisions of this part</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5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VII(71)1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sz w:val="20"/>
                <w:szCs w:val="20"/>
              </w:rPr>
            </w:pPr>
            <w:r w:rsidRPr="005A7703">
              <w:rPr>
                <w:rFonts w:ascii="Bookman Old Style" w:hAnsi="Bookman Old Style"/>
                <w:sz w:val="20"/>
                <w:szCs w:val="20"/>
              </w:rPr>
              <w:t>The DDSCM shall maintain and continuously maintain and continuously update the list of registered suppliers, contractors, and consultants in various categories.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5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bCs/>
                <w:sz w:val="20"/>
                <w:szCs w:val="20"/>
                <w:lang w:eastAsia="en-GB"/>
              </w:rPr>
            </w:pPr>
            <w:r w:rsidRPr="005A7703">
              <w:rPr>
                <w:rFonts w:ascii="Bookman Old Style" w:hAnsi="Bookman Old Style"/>
                <w:bCs/>
                <w:sz w:val="20"/>
                <w:szCs w:val="20"/>
                <w:lang w:eastAsia="en-GB"/>
              </w:rPr>
              <w:t>Part VII(74) 1&amp;2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sz w:val="20"/>
                <w:szCs w:val="20"/>
              </w:rPr>
            </w:pPr>
            <w:r w:rsidRPr="005A7703">
              <w:rPr>
                <w:rFonts w:ascii="Bookman Old Style" w:hAnsi="Bookman Old Style"/>
                <w:sz w:val="20"/>
                <w:szCs w:val="20"/>
              </w:rPr>
              <w:t>The Director shall ensure the preparation of an invitation to tender as per Section (74)1(a-j) &amp;   2</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10</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Public Archives and Documentation Service Act 2012</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Kenya National Archives and Documentation Service</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5A(1)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sz w:val="20"/>
                <w:szCs w:val="20"/>
              </w:rPr>
            </w:pPr>
            <w:r w:rsidRPr="005A7703">
              <w:rPr>
                <w:rFonts w:ascii="Bookman Old Style" w:hAnsi="Bookman Old Style"/>
                <w:sz w:val="20"/>
                <w:szCs w:val="20"/>
              </w:rPr>
              <w:t>The Director KEFRI shall submit two copies of any published or generally circulated document or report produced by KEFRI to KNADS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11</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Employment Act, 2007</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National  Labour</w:t>
            </w:r>
          </w:p>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Board</w:t>
            </w:r>
          </w:p>
        </w:tc>
        <w:tc>
          <w:tcPr>
            <w:tcW w:w="1339"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5(2)</w:t>
            </w:r>
          </w:p>
          <w:p w:rsidR="00A94526" w:rsidRPr="005A7703" w:rsidRDefault="00A94526" w:rsidP="003938C0">
            <w:pPr>
              <w:spacing w:after="0"/>
              <w:jc w:val="both"/>
              <w:rPr>
                <w:rFonts w:ascii="Bookman Old Style" w:hAnsi="Bookman Old Style"/>
                <w:sz w:val="20"/>
                <w:szCs w:val="20"/>
              </w:rPr>
            </w:pP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sz w:val="20"/>
                <w:szCs w:val="20"/>
              </w:rPr>
            </w:pPr>
            <w:r w:rsidRPr="005A7703">
              <w:rPr>
                <w:rFonts w:ascii="Bookman Old Style" w:hAnsi="Bookman Old Style"/>
                <w:sz w:val="20"/>
                <w:szCs w:val="20"/>
              </w:rPr>
              <w:t xml:space="preserve">KEFRI shall </w:t>
            </w:r>
            <w:r w:rsidRPr="005A7703">
              <w:rPr>
                <w:rFonts w:ascii="Bookman Old Style" w:hAnsi="Bookman Old Style" w:cs="TimesNewRoman"/>
                <w:sz w:val="20"/>
                <w:szCs w:val="20"/>
              </w:rPr>
              <w:t>promote equal opportunity in employment</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12"/>
        </w:trPr>
        <w:tc>
          <w:tcPr>
            <w:tcW w:w="787" w:type="dxa"/>
            <w:vMerge w:val="restart"/>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c>
          <w:tcPr>
            <w:tcW w:w="2003" w:type="dxa"/>
            <w:vMerge w:val="restart"/>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c>
          <w:tcPr>
            <w:tcW w:w="1743" w:type="dxa"/>
            <w:vMerge w:val="restart"/>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6(2),(4)</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 shall issue and communicate a policy on sexual harassment</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65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9(2)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 shall be responsible for drawing a contract of service/letter of appointment to all employees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17(1)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sz w:val="20"/>
                <w:szCs w:val="20"/>
              </w:rPr>
            </w:pPr>
            <w:r w:rsidRPr="005A7703">
              <w:rPr>
                <w:rFonts w:ascii="Bookman Old Style" w:hAnsi="Bookman Old Style"/>
                <w:sz w:val="20"/>
                <w:szCs w:val="20"/>
              </w:rPr>
              <w:t xml:space="preserve">KEFRI </w:t>
            </w:r>
            <w:r w:rsidRPr="005A7703">
              <w:rPr>
                <w:rFonts w:ascii="Bookman Old Style" w:hAnsi="Bookman Old Style" w:cs="TimesNewRoman"/>
                <w:sz w:val="20"/>
                <w:szCs w:val="20"/>
              </w:rPr>
              <w:t>shall pay the entire amount of the wages/salary earned or payable to an employee in respect of work done</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458"/>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20(1)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sz w:val="20"/>
                <w:szCs w:val="20"/>
              </w:rPr>
              <w:t xml:space="preserve">KEFRI </w:t>
            </w:r>
            <w:r w:rsidRPr="005A7703">
              <w:rPr>
                <w:rFonts w:ascii="Bookman Old Style" w:hAnsi="Bookman Old Style" w:cs="TimesNewRoman"/>
                <w:sz w:val="20"/>
                <w:szCs w:val="20"/>
              </w:rPr>
              <w:t>shall give, a written statement (payslip) to an employee at or before the time at which any payment of wages or salary is made to the employee.</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24(1)</w:t>
            </w:r>
          </w:p>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78</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sz w:val="20"/>
                <w:szCs w:val="20"/>
              </w:rPr>
            </w:pPr>
            <w:r w:rsidRPr="005A7703">
              <w:rPr>
                <w:rFonts w:ascii="Bookman Old Style" w:hAnsi="Bookman Old Style" w:cs="TimesNewRoman"/>
                <w:sz w:val="20"/>
                <w:szCs w:val="20"/>
              </w:rPr>
              <w:t>KEFRI shall notify the labour office of any death or/and termination of employee within two weeks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55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34(1)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KEFRI shall ensure provision of medical services to all employees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51(1)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KEFRI shall issue to an employee a</w:t>
            </w:r>
          </w:p>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certificate of service upon termination of his employment</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715"/>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74(1)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KEFRI shall keep a record of all its employees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lastRenderedPageBreak/>
              <w:t>12</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The Public Officer Ethics Act, 2003</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Public Service Commission</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Part  IV(26)</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KEFRI employees shall declare their income, assets and liabilities every two years</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13</w:t>
            </w:r>
          </w:p>
        </w:tc>
        <w:tc>
          <w:tcPr>
            <w:tcW w:w="200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Work injury Benefits Act 2007</w:t>
            </w:r>
          </w:p>
        </w:tc>
        <w:tc>
          <w:tcPr>
            <w:tcW w:w="174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DOSHS</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7(1)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 xml:space="preserve">KEFRI </w:t>
            </w:r>
            <w:r w:rsidRPr="005A7703">
              <w:rPr>
                <w:rFonts w:ascii="Bookman Old Style" w:hAnsi="Bookman Old Style"/>
                <w:sz w:val="20"/>
                <w:szCs w:val="20"/>
              </w:rPr>
              <w:t xml:space="preserve">shall obtain and maintain an insurance policy for its employees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8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10(2)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 xml:space="preserve">KEFRI shall </w:t>
            </w:r>
            <w:r w:rsidRPr="005A7703">
              <w:rPr>
                <w:rFonts w:ascii="Bookman Old Style" w:hAnsi="Bookman Old Style"/>
                <w:sz w:val="20"/>
                <w:szCs w:val="20"/>
              </w:rPr>
              <w:t xml:space="preserve">pay compensation in accordance with the provisions of this Act to an employee injured while at work.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14</w:t>
            </w:r>
          </w:p>
        </w:tc>
        <w:tc>
          <w:tcPr>
            <w:tcW w:w="200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Public Finance Management Act, 2012</w:t>
            </w:r>
          </w:p>
        </w:tc>
        <w:tc>
          <w:tcPr>
            <w:tcW w:w="174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Public Sector Accounting Standards Board</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73(1a)</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autoSpaceDE w:val="0"/>
              <w:autoSpaceDN w:val="0"/>
              <w:adjustRightInd w:val="0"/>
              <w:spacing w:after="0"/>
              <w:jc w:val="both"/>
              <w:rPr>
                <w:rFonts w:ascii="Bookman Old Style" w:hAnsi="Bookman Old Style" w:cs="TimesNewRoman"/>
                <w:sz w:val="20"/>
                <w:szCs w:val="20"/>
              </w:rPr>
            </w:pPr>
            <w:r w:rsidRPr="005A7703">
              <w:rPr>
                <w:rFonts w:ascii="Bookman Old Style" w:hAnsi="Bookman Old Style" w:cs="TimesNewRoman"/>
                <w:sz w:val="20"/>
                <w:szCs w:val="20"/>
              </w:rPr>
              <w:t xml:space="preserve">KEFRI shall put </w:t>
            </w:r>
            <w:r w:rsidRPr="005A7703">
              <w:rPr>
                <w:rFonts w:ascii="Bookman Old Style" w:hAnsi="Bookman Old Style"/>
                <w:sz w:val="20"/>
                <w:szCs w:val="20"/>
              </w:rPr>
              <w:t>appropriate arrangements in place for conducting internal audits according to the guidelines of the Accounting Standards Board</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81(1)</w:t>
            </w:r>
          </w:p>
        </w:tc>
        <w:tc>
          <w:tcPr>
            <w:tcW w:w="3870"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pStyle w:val="BodyText2"/>
              <w:spacing w:line="276" w:lineRule="auto"/>
              <w:ind w:firstLine="0"/>
              <w:rPr>
                <w:rFonts w:ascii="Bookman Old Style" w:eastAsia="Times New Roman" w:hAnsi="Bookman Old Style" w:cs="Times New Roman"/>
                <w:bCs w:val="0"/>
                <w:color w:val="auto"/>
                <w:lang w:val="en-GB"/>
              </w:rPr>
            </w:pPr>
            <w:r w:rsidRPr="005A7703">
              <w:rPr>
                <w:rFonts w:ascii="Bookman Old Style" w:eastAsia="Times New Roman" w:hAnsi="Bookman Old Style" w:cs="Times New Roman"/>
                <w:bCs w:val="0"/>
                <w:color w:val="auto"/>
                <w:lang w:val="en-GB"/>
              </w:rPr>
              <w:t xml:space="preserve">KEFRI shall prepare financial statements at the end of every financial year. </w:t>
            </w:r>
          </w:p>
          <w:p w:rsidR="00A94526" w:rsidRPr="005A7703" w:rsidRDefault="00A94526" w:rsidP="003938C0">
            <w:pPr>
              <w:autoSpaceDE w:val="0"/>
              <w:autoSpaceDN w:val="0"/>
              <w:adjustRightInd w:val="0"/>
              <w:spacing w:after="0"/>
              <w:jc w:val="both"/>
              <w:rPr>
                <w:rFonts w:ascii="Bookman Old Style" w:hAnsi="Bookman Old Style"/>
                <w:sz w:val="20"/>
                <w:szCs w:val="20"/>
              </w:rPr>
            </w:pP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82</w:t>
            </w:r>
          </w:p>
        </w:tc>
        <w:tc>
          <w:tcPr>
            <w:tcW w:w="3870"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pStyle w:val="BodyText2"/>
              <w:spacing w:line="276" w:lineRule="auto"/>
              <w:ind w:firstLine="0"/>
              <w:rPr>
                <w:rFonts w:ascii="Bookman Old Style" w:eastAsia="Times New Roman" w:hAnsi="Bookman Old Style" w:cs="Times New Roman"/>
                <w:bCs w:val="0"/>
                <w:color w:val="auto"/>
                <w:lang w:val="en-GB"/>
              </w:rPr>
            </w:pPr>
            <w:r w:rsidRPr="005A7703">
              <w:rPr>
                <w:rFonts w:ascii="Bookman Old Style" w:eastAsia="Times New Roman" w:hAnsi="Bookman Old Style" w:cs="Times New Roman"/>
                <w:bCs w:val="0"/>
                <w:color w:val="auto"/>
                <w:lang w:val="en-GB"/>
              </w:rPr>
              <w:t xml:space="preserve">KEFRI shall prepare an account in respect of the revenue received and collected by the receiver during that financial year. </w:t>
            </w:r>
          </w:p>
          <w:p w:rsidR="00A94526" w:rsidRPr="005A7703" w:rsidRDefault="00A94526" w:rsidP="003938C0">
            <w:pPr>
              <w:pStyle w:val="BodyText2"/>
              <w:spacing w:line="276" w:lineRule="auto"/>
              <w:ind w:firstLine="0"/>
              <w:rPr>
                <w:rFonts w:ascii="Bookman Old Style" w:eastAsia="Times New Roman" w:hAnsi="Bookman Old Style" w:cs="Times New Roman"/>
                <w:bCs w:val="0"/>
                <w:color w:val="auto"/>
                <w:lang w:val="en-GB"/>
              </w:rPr>
            </w:pP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83(a)</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KEFRI shall submit the accounts to the Auditor-General and a copy to the National Treasury annually</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15</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Records Management Procedures Manual for Public Service 2010</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Ministry of State for Public Service</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All chapters</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pStyle w:val="BodyText2"/>
              <w:spacing w:line="276" w:lineRule="auto"/>
              <w:ind w:firstLine="0"/>
              <w:rPr>
                <w:rFonts w:ascii="Bookman Old Style" w:eastAsia="Times New Roman" w:hAnsi="Bookman Old Style" w:cs="Times New Roman"/>
                <w:bCs w:val="0"/>
                <w:color w:val="auto"/>
                <w:lang w:val="en-GB"/>
              </w:rPr>
            </w:pPr>
            <w:r w:rsidRPr="005A7703">
              <w:rPr>
                <w:rFonts w:ascii="Bookman Old Style" w:eastAsia="Times New Roman" w:hAnsi="Bookman Old Style" w:cs="Times New Roman"/>
                <w:bCs w:val="0"/>
                <w:color w:val="auto"/>
                <w:lang w:val="en-GB"/>
              </w:rPr>
              <w:t>All KEFRI registries shall adhere to all requirements in the records management manual of 2010</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16</w:t>
            </w:r>
          </w:p>
        </w:tc>
        <w:tc>
          <w:tcPr>
            <w:tcW w:w="200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Science Technology and Innovation Act,2013</w:t>
            </w:r>
          </w:p>
        </w:tc>
        <w:tc>
          <w:tcPr>
            <w:tcW w:w="1743" w:type="dxa"/>
            <w:vMerge w:val="restart"/>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NACOSTI</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(21)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pStyle w:val="Default"/>
              <w:spacing w:line="276" w:lineRule="auto"/>
              <w:jc w:val="both"/>
              <w:rPr>
                <w:color w:val="auto"/>
                <w:sz w:val="20"/>
                <w:szCs w:val="20"/>
              </w:rPr>
            </w:pPr>
            <w:r w:rsidRPr="005A7703">
              <w:rPr>
                <w:rFonts w:eastAsia="Times New Roman"/>
                <w:bCs/>
                <w:color w:val="auto"/>
                <w:sz w:val="20"/>
                <w:szCs w:val="20"/>
              </w:rPr>
              <w:t>KEFRI shall</w:t>
            </w:r>
            <w:r w:rsidRPr="005A7703">
              <w:rPr>
                <w:color w:val="auto"/>
                <w:sz w:val="20"/>
                <w:szCs w:val="20"/>
              </w:rPr>
              <w:t xml:space="preserve"> be established or operated as a research institute by obtaining a Certificate of Registration.</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(22)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pStyle w:val="Default"/>
              <w:spacing w:line="276" w:lineRule="auto"/>
              <w:jc w:val="both"/>
              <w:rPr>
                <w:rFonts w:eastAsia="Times New Roman"/>
                <w:bCs/>
                <w:color w:val="auto"/>
                <w:sz w:val="20"/>
                <w:szCs w:val="20"/>
              </w:rPr>
            </w:pPr>
            <w:r w:rsidRPr="005A7703">
              <w:rPr>
                <w:color w:val="auto"/>
                <w:sz w:val="20"/>
                <w:szCs w:val="20"/>
              </w:rPr>
              <w:t>KEFRI shall maintain the standards and ensure compliance with the code of conduct or other regulations prescribed by the Commission</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25(1)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pStyle w:val="Default"/>
              <w:spacing w:line="276" w:lineRule="auto"/>
              <w:jc w:val="both"/>
              <w:rPr>
                <w:color w:val="auto"/>
                <w:sz w:val="20"/>
                <w:szCs w:val="20"/>
              </w:rPr>
            </w:pPr>
            <w:r w:rsidRPr="005A7703">
              <w:rPr>
                <w:color w:val="auto"/>
                <w:sz w:val="20"/>
                <w:szCs w:val="20"/>
              </w:rPr>
              <w:t xml:space="preserve">KEFRI shall retain all rights in any discoveries, inventions and improvements in respect of processes, apparatus and machines made on behalf of the institute and </w:t>
            </w:r>
            <w:r w:rsidRPr="005A7703">
              <w:rPr>
                <w:color w:val="auto"/>
                <w:sz w:val="20"/>
                <w:szCs w:val="20"/>
              </w:rPr>
              <w:lastRenderedPageBreak/>
              <w:t>may avail them for use in the public interest.</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25(2)</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pStyle w:val="Default"/>
              <w:spacing w:line="276" w:lineRule="auto"/>
              <w:jc w:val="both"/>
              <w:rPr>
                <w:color w:val="auto"/>
                <w:sz w:val="20"/>
                <w:szCs w:val="20"/>
              </w:rPr>
            </w:pPr>
            <w:r w:rsidRPr="005A7703">
              <w:rPr>
                <w:color w:val="auto"/>
                <w:sz w:val="20"/>
                <w:szCs w:val="20"/>
              </w:rPr>
              <w:t xml:space="preserve">Any publication arising from research work carried out by a researcher for or on behalf of KEFRI shall be subject to approval by the institute.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A94526" w:rsidRPr="005A7703" w:rsidRDefault="00A94526" w:rsidP="003938C0">
            <w:pPr>
              <w:spacing w:after="0"/>
              <w:jc w:val="both"/>
              <w:rPr>
                <w:rFonts w:ascii="Bookman Old Style" w:hAnsi="Bookman Old Style"/>
                <w:sz w:val="20"/>
                <w:szCs w:val="20"/>
              </w:rPr>
            </w:pP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 (26)</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pStyle w:val="BodyText2"/>
              <w:spacing w:line="276" w:lineRule="auto"/>
              <w:ind w:firstLine="0"/>
              <w:rPr>
                <w:rFonts w:ascii="Bookman Old Style" w:eastAsia="Calibri" w:hAnsi="Bookman Old Style" w:cs="Times New Roman"/>
                <w:bCs w:val="0"/>
                <w:color w:val="auto"/>
                <w:lang w:val="en-GB"/>
              </w:rPr>
            </w:pPr>
            <w:r w:rsidRPr="005A7703">
              <w:rPr>
                <w:rFonts w:ascii="Bookman Old Style" w:eastAsia="Calibri" w:hAnsi="Bookman Old Style" w:cs="Times New Roman"/>
                <w:bCs w:val="0"/>
                <w:color w:val="auto"/>
                <w:lang w:val="en-GB"/>
              </w:rPr>
              <w:t>KEFRI shall store and disseminate research findings and information as may be prescribed by the Commission from time to time</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r w:rsidR="00A94526" w:rsidRPr="005A7703" w:rsidTr="003938C0">
        <w:trPr>
          <w:trHeight w:val="809"/>
        </w:trPr>
        <w:tc>
          <w:tcPr>
            <w:tcW w:w="787"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17</w:t>
            </w:r>
          </w:p>
        </w:tc>
        <w:tc>
          <w:tcPr>
            <w:tcW w:w="200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Physical planning Act, 2009</w:t>
            </w:r>
          </w:p>
        </w:tc>
        <w:tc>
          <w:tcPr>
            <w:tcW w:w="1743"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 xml:space="preserve">County Government </w:t>
            </w:r>
          </w:p>
        </w:tc>
        <w:tc>
          <w:tcPr>
            <w:tcW w:w="1339"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spacing w:after="0"/>
              <w:jc w:val="both"/>
              <w:rPr>
                <w:rFonts w:ascii="Bookman Old Style" w:hAnsi="Bookman Old Style"/>
                <w:sz w:val="20"/>
                <w:szCs w:val="20"/>
              </w:rPr>
            </w:pPr>
            <w:r w:rsidRPr="005A7703">
              <w:rPr>
                <w:rFonts w:ascii="Bookman Old Style" w:hAnsi="Bookman Old Style"/>
                <w:sz w:val="20"/>
                <w:szCs w:val="20"/>
              </w:rPr>
              <w:t>30 &amp; 31</w:t>
            </w:r>
          </w:p>
        </w:tc>
        <w:tc>
          <w:tcPr>
            <w:tcW w:w="3870" w:type="dxa"/>
            <w:tcBorders>
              <w:top w:val="single" w:sz="4" w:space="0" w:color="auto"/>
              <w:left w:val="single" w:sz="4" w:space="0" w:color="auto"/>
              <w:bottom w:val="single" w:sz="4" w:space="0" w:color="auto"/>
              <w:right w:val="single" w:sz="4" w:space="0" w:color="auto"/>
            </w:tcBorders>
            <w:hideMark/>
          </w:tcPr>
          <w:p w:rsidR="00A94526" w:rsidRPr="005A7703" w:rsidRDefault="00A94526" w:rsidP="003938C0">
            <w:pPr>
              <w:pStyle w:val="BodyText2"/>
              <w:spacing w:line="276" w:lineRule="auto"/>
              <w:ind w:firstLine="0"/>
              <w:rPr>
                <w:rFonts w:ascii="Bookman Old Style" w:eastAsia="Calibri" w:hAnsi="Bookman Old Style" w:cs="Times New Roman"/>
                <w:bCs w:val="0"/>
                <w:color w:val="auto"/>
                <w:lang w:val="en-GB"/>
              </w:rPr>
            </w:pPr>
            <w:r w:rsidRPr="005A7703">
              <w:rPr>
                <w:rFonts w:ascii="Bookman Old Style" w:eastAsia="Calibri" w:hAnsi="Bookman Old Style" w:cs="Times New Roman"/>
                <w:bCs w:val="0"/>
                <w:color w:val="auto"/>
                <w:lang w:val="en-GB"/>
              </w:rPr>
              <w:t xml:space="preserve">KEFRI shall apply and obtain development permission from the area local Authority before carrying out any infrastructural development  </w:t>
            </w:r>
          </w:p>
        </w:tc>
        <w:tc>
          <w:tcPr>
            <w:tcW w:w="1688" w:type="dxa"/>
            <w:tcBorders>
              <w:top w:val="single" w:sz="4" w:space="0" w:color="auto"/>
              <w:left w:val="single" w:sz="4" w:space="0" w:color="auto"/>
              <w:bottom w:val="single" w:sz="4" w:space="0" w:color="auto"/>
              <w:right w:val="single" w:sz="4" w:space="0" w:color="auto"/>
            </w:tcBorders>
          </w:tcPr>
          <w:p w:rsidR="00A94526" w:rsidRPr="005A7703" w:rsidRDefault="00A94526" w:rsidP="003938C0">
            <w:pPr>
              <w:spacing w:after="0"/>
              <w:jc w:val="both"/>
              <w:rPr>
                <w:rFonts w:ascii="Bookman Old Style" w:hAnsi="Bookman Old Style"/>
                <w:sz w:val="20"/>
                <w:szCs w:val="20"/>
              </w:rPr>
            </w:pPr>
          </w:p>
        </w:tc>
      </w:tr>
    </w:tbl>
    <w:p w:rsidR="00A94526" w:rsidRPr="005A7703" w:rsidRDefault="00A94526" w:rsidP="00A94526">
      <w:pPr>
        <w:pStyle w:val="Default"/>
        <w:spacing w:after="240" w:line="276" w:lineRule="auto"/>
        <w:jc w:val="both"/>
        <w:rPr>
          <w:b/>
          <w:bCs/>
          <w:color w:val="auto"/>
          <w:sz w:val="20"/>
          <w:szCs w:val="20"/>
        </w:rPr>
      </w:pPr>
    </w:p>
    <w:p w:rsidR="00C2552A" w:rsidRDefault="00C2552A"/>
    <w:sectPr w:rsidR="00C2552A" w:rsidSect="00C255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1"/>
    <w:family w:val="auto"/>
    <w:notTrueType/>
    <w:pitch w:val="default"/>
    <w:sig w:usb0="00000083" w:usb1="00000000" w:usb2="00000000" w:usb3="00000000" w:csb0="00000009"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94526"/>
    <w:rsid w:val="00412EF2"/>
    <w:rsid w:val="005254E7"/>
    <w:rsid w:val="00623CC1"/>
    <w:rsid w:val="00A94526"/>
    <w:rsid w:val="00B30BD0"/>
    <w:rsid w:val="00C25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26"/>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4526"/>
    <w:pPr>
      <w:autoSpaceDE w:val="0"/>
      <w:autoSpaceDN w:val="0"/>
      <w:adjustRightInd w:val="0"/>
      <w:spacing w:after="0" w:line="240" w:lineRule="auto"/>
    </w:pPr>
    <w:rPr>
      <w:rFonts w:ascii="Bookman Old Style" w:eastAsia="Calibri" w:hAnsi="Bookman Old Style" w:cs="Bookman Old Style"/>
      <w:color w:val="000000"/>
      <w:sz w:val="24"/>
      <w:szCs w:val="24"/>
      <w:lang w:val="en-GB"/>
    </w:rPr>
  </w:style>
  <w:style w:type="paragraph" w:styleId="CommentText">
    <w:name w:val="annotation text"/>
    <w:basedOn w:val="Normal"/>
    <w:link w:val="CommentTextChar"/>
    <w:semiHidden/>
    <w:unhideWhenUsed/>
    <w:rsid w:val="00A9452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A94526"/>
    <w:rPr>
      <w:rFonts w:ascii="Times New Roman" w:eastAsia="Times New Roman" w:hAnsi="Times New Roman" w:cs="Times New Roman"/>
      <w:sz w:val="20"/>
      <w:szCs w:val="20"/>
      <w:lang w:val="en-GB"/>
    </w:rPr>
  </w:style>
  <w:style w:type="paragraph" w:customStyle="1" w:styleId="Pa19">
    <w:name w:val="Pa19"/>
    <w:basedOn w:val="Normal"/>
    <w:next w:val="Normal"/>
    <w:uiPriority w:val="99"/>
    <w:rsid w:val="00A94526"/>
    <w:pPr>
      <w:autoSpaceDE w:val="0"/>
      <w:autoSpaceDN w:val="0"/>
      <w:adjustRightInd w:val="0"/>
      <w:spacing w:after="0" w:line="201" w:lineRule="atLeast"/>
    </w:pPr>
    <w:rPr>
      <w:rFonts w:ascii="Times" w:hAnsi="Times" w:cs="Times"/>
      <w:sz w:val="24"/>
      <w:szCs w:val="24"/>
    </w:rPr>
  </w:style>
  <w:style w:type="paragraph" w:customStyle="1" w:styleId="BodyText2">
    <w:name w:val="Body Text2"/>
    <w:basedOn w:val="Normal"/>
    <w:uiPriority w:val="99"/>
    <w:rsid w:val="00A94526"/>
    <w:pPr>
      <w:widowControl w:val="0"/>
      <w:suppressAutoHyphens/>
      <w:autoSpaceDE w:val="0"/>
      <w:autoSpaceDN w:val="0"/>
      <w:adjustRightInd w:val="0"/>
      <w:spacing w:after="0" w:line="240" w:lineRule="auto"/>
      <w:ind w:firstLine="450"/>
      <w:jc w:val="both"/>
    </w:pPr>
    <w:rPr>
      <w:rFonts w:ascii="Arial" w:eastAsia="Cambria" w:hAnsi="Arial" w:cs="Arial"/>
      <w:bCs/>
      <w:color w:val="000000"/>
      <w:sz w:val="20"/>
      <w:szCs w:val="20"/>
      <w:lang w:val="en-US"/>
    </w:rPr>
  </w:style>
  <w:style w:type="paragraph" w:styleId="BalloonText">
    <w:name w:val="Balloon Text"/>
    <w:basedOn w:val="Normal"/>
    <w:link w:val="BalloonTextChar"/>
    <w:uiPriority w:val="99"/>
    <w:semiHidden/>
    <w:unhideWhenUsed/>
    <w:rsid w:val="00A94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526"/>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1</cp:revision>
  <dcterms:created xsi:type="dcterms:W3CDTF">2018-04-03T06:52:00Z</dcterms:created>
  <dcterms:modified xsi:type="dcterms:W3CDTF">2018-04-03T06:53:00Z</dcterms:modified>
</cp:coreProperties>
</file>